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82429a6ce431c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28.3.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česneková s bramborem a sýrem (1, 7), Hovězí vařené, Omáčka křenová (1, 7),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česneková s bramborem a sýrem (1, 7), Pštrosí vejce (sekaná plněná vejcem) (1, 3, 7), Kaše bramborová (7), Kompot meruňkový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29.3.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uzená s rýží (1), Vepřové dušené, Kapusta dušená (1), 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uzená s rýží (1), Krůtí plátek přírodní, Rýže dušená, Salát mrkvový s jablky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30.3.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9), Kuřecí řízek smažený (1, 3, 7), Salát bramborový (3, 9, 10)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9), Kaše rýžová s máslem, cukrem a kakaem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31.3.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(9), Prejt jelitový (1), Zelí kysané dušené (1), 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(9), Koláč ovocný s drobenkou domácí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bramborem (1, 9), Boudinský závitek (1, 7),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bramborem (1, 9), Rizoto s kuřecím masem a zeleninou, sypané sýrem (7, 9), Salát z čínského zelí s mrkví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9), Vepřové nudličky na zelenině (1, 7, 9), 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3.4.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drožďovými nočky (1, 3, 9), Kuře pečené (1, 6, 7), Rýže dušená, Kompot dýňový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28.3.2022 do 3.4.2022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